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E8" w:rsidRDefault="009E7043">
      <w:pPr>
        <w:pStyle w:val="ConsPlusNormal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Памятка о трудоустройстве несовершеннолетних работников</w:t>
      </w:r>
    </w:p>
    <w:p w:rsidR="00CD32E8" w:rsidRDefault="00CD32E8">
      <w:pPr>
        <w:pStyle w:val="a7"/>
        <w:spacing w:after="40"/>
        <w:ind w:left="0" w:firstLine="709"/>
        <w:jc w:val="both"/>
        <w:rPr>
          <w:sz w:val="16"/>
          <w:szCs w:val="16"/>
        </w:rPr>
      </w:pPr>
    </w:p>
    <w:p w:rsidR="00CD32E8" w:rsidRDefault="009E7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Законодательством предусмотрены особые социальные гарантии несовершеннолетним работникам в сфере трудовых отношений:</w:t>
      </w:r>
    </w:p>
    <w:p w:rsidR="00CD32E8" w:rsidRDefault="009E704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Заключать трудовой договор допускается с лицами:</w:t>
      </w:r>
    </w:p>
    <w:p w:rsidR="00CD32E8" w:rsidRDefault="009E7043">
      <w:pPr>
        <w:pStyle w:val="a7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достигшими возраста 16 лет (</w:t>
      </w:r>
      <w:r>
        <w:rPr>
          <w:rFonts w:ascii="Times New Roman" w:hAnsi="Times New Roman"/>
          <w:color w:val="000000"/>
          <w:sz w:val="28"/>
          <w:szCs w:val="28"/>
        </w:rPr>
        <w:t>ч. 1 ст. 63 ТК РФ);</w:t>
      </w:r>
    </w:p>
    <w:p w:rsidR="00CD32E8" w:rsidRDefault="009E70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достигшими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возраста 15 лет,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получившими общее образование для выполнения легкого труда, не причиняющего вреда их здоровью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(ч. 2 ст. 63 ТК РФ);</w:t>
      </w:r>
    </w:p>
    <w:p w:rsidR="00CD32E8" w:rsidRDefault="009E70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достигшими возраста 15 лет и в соответствии с федеральным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законом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оставившими общеобразов</w:t>
      </w:r>
      <w:r>
        <w:rPr>
          <w:rFonts w:ascii="Times New Roman" w:hAnsi="Times New Roman"/>
          <w:color w:val="000000"/>
          <w:sz w:val="28"/>
          <w:szCs w:val="28"/>
        </w:rPr>
        <w:t>ательную организацию до получения основного общего образования или отчисленными из указанной организации и продолжающими получать общее образование в иной форме обучения. С ними правомерно заключать трудовые договоры для выполнения легкого труда, не причин</w:t>
      </w:r>
      <w:r>
        <w:rPr>
          <w:rFonts w:ascii="Times New Roman" w:hAnsi="Times New Roman"/>
          <w:color w:val="000000"/>
          <w:sz w:val="28"/>
          <w:szCs w:val="28"/>
        </w:rPr>
        <w:t>яющего вреда их здоровью и без ущерба для освоения образовательной программы (</w:t>
      </w:r>
      <w:hyperlink r:id="rId6">
        <w:r>
          <w:rPr>
            <w:rFonts w:ascii="Times New Roman" w:hAnsi="Times New Roman"/>
            <w:color w:val="000000"/>
            <w:sz w:val="28"/>
            <w:szCs w:val="28"/>
          </w:rPr>
          <w:t>ч. 2 ст. 63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ТК РФ)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D32E8" w:rsidRDefault="009E70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- достигшими возраста 14 лет и получившими общее образование, для выполнения легкого труда, не причиняющего вреда их здоровью, при наличии письменного согласия одного из родителей (попечителя), а для детей-сирот и детей, оставшихся без попечения родителе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й, - при наличии письменного согласия органа опеки и попечительства или иного законного представителя (</w:t>
      </w:r>
      <w:hyperlink r:id="rId7">
        <w:r>
          <w:rPr>
            <w:rFonts w:ascii="Times New Roman" w:hAnsi="Times New Roman"/>
            <w:color w:val="000000"/>
            <w:spacing w:val="-4"/>
            <w:sz w:val="28"/>
            <w:szCs w:val="28"/>
          </w:rPr>
          <w:t>ч. 3</w:t>
        </w:r>
      </w:hyperlink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hyperlink r:id="rId8">
        <w:r>
          <w:rPr>
            <w:rFonts w:ascii="Times New Roman" w:hAnsi="Times New Roman"/>
            <w:color w:val="000000"/>
            <w:spacing w:val="-4"/>
            <w:sz w:val="28"/>
            <w:szCs w:val="28"/>
          </w:rPr>
          <w:t>4 ст. 63</w:t>
        </w:r>
      </w:hyperlink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ТК РФ);</w:t>
      </w:r>
      <w:proofErr w:type="gramEnd"/>
    </w:p>
    <w:p w:rsidR="00CD32E8" w:rsidRDefault="009E70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достигшими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возраста 14 лет и получающими общее образование, если работа выполняется в свободное от получения образования время. При этом возможно выполнение только легкого труда, не причиняющего вреда их здоровью без ущерба для освоения образовательной 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рограммы. Также обязательным является письменное согласие одного из родителей (попечителя), а для детей-сирот и детей, оставшихся без попечения родителей, - письменное согласие органа опеки и попечительства или иного законного представителя (</w:t>
      </w:r>
      <w:hyperlink r:id="rId9">
        <w:r>
          <w:rPr>
            <w:rFonts w:ascii="Times New Roman" w:hAnsi="Times New Roman"/>
            <w:color w:val="000000"/>
            <w:spacing w:val="-4"/>
            <w:sz w:val="28"/>
            <w:szCs w:val="28"/>
          </w:rPr>
          <w:t>ч. 3</w:t>
        </w:r>
      </w:hyperlink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hyperlink r:id="rId10">
        <w:r>
          <w:rPr>
            <w:rFonts w:ascii="Times New Roman" w:hAnsi="Times New Roman"/>
            <w:color w:val="000000"/>
            <w:spacing w:val="-4"/>
            <w:sz w:val="28"/>
            <w:szCs w:val="28"/>
          </w:rPr>
          <w:t>4 ст. 63</w:t>
        </w:r>
      </w:hyperlink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ТК РФ);</w:t>
      </w:r>
    </w:p>
    <w:p w:rsidR="00CD32E8" w:rsidRDefault="009E70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достигшими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возраста 14 лет с согласия одного из родителей (опекуна) и разрешения органа опеки и попечительства для работы в организациях кинематографии, театрах, театральных и к</w:t>
      </w:r>
      <w:r>
        <w:rPr>
          <w:rFonts w:ascii="Times New Roman" w:hAnsi="Times New Roman"/>
          <w:color w:val="000000"/>
          <w:sz w:val="28"/>
          <w:szCs w:val="28"/>
        </w:rPr>
        <w:t>онцертных организациях, цирках для участия в создании и (или) исполнении (экспонировании) произведений без ущерба здоровью и нравственному развитию, а также со спортсменом. Трудовой договор от имени работника в этом случае подписывается его родителем (опек</w:t>
      </w:r>
      <w:r>
        <w:rPr>
          <w:rFonts w:ascii="Times New Roman" w:hAnsi="Times New Roman"/>
          <w:color w:val="000000"/>
          <w:sz w:val="28"/>
          <w:szCs w:val="28"/>
        </w:rPr>
        <w:t>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 (</w:t>
      </w:r>
      <w:hyperlink r:id="rId11">
        <w:r>
          <w:rPr>
            <w:rFonts w:ascii="Times New Roman" w:hAnsi="Times New Roman"/>
            <w:color w:val="000000"/>
            <w:sz w:val="28"/>
            <w:szCs w:val="28"/>
          </w:rPr>
          <w:t>ч. 5 ст. 63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2">
        <w:r>
          <w:rPr>
            <w:rFonts w:ascii="Times New Roman" w:hAnsi="Times New Roman"/>
            <w:color w:val="000000"/>
            <w:sz w:val="28"/>
            <w:szCs w:val="28"/>
          </w:rPr>
          <w:t xml:space="preserve">ч. 5 </w:t>
        </w:r>
        <w:r>
          <w:rPr>
            <w:rFonts w:ascii="Times New Roman" w:hAnsi="Times New Roman"/>
            <w:color w:val="000000"/>
            <w:sz w:val="28"/>
            <w:szCs w:val="28"/>
          </w:rPr>
          <w:t>ст. 348.8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ТК РФ).</w:t>
      </w:r>
    </w:p>
    <w:p w:rsidR="00CD32E8" w:rsidRDefault="009E7043">
      <w:pPr>
        <w:pStyle w:val="ConsPlusNormal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Ст. 265 ТК РФ установлены ограничения труда подростков в виде запрета их приёма на работы с вредными и (или) опасными условиями труда, на подземные работы, а также на работы, выполнение которых может причинить вред их здоровью и нра</w:t>
      </w:r>
      <w:r>
        <w:rPr>
          <w:sz w:val="28"/>
          <w:szCs w:val="28"/>
        </w:rPr>
        <w:t>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</w:t>
      </w:r>
      <w:proofErr w:type="gramEnd"/>
      <w:r>
        <w:rPr>
          <w:sz w:val="28"/>
          <w:szCs w:val="28"/>
        </w:rPr>
        <w:t xml:space="preserve">). </w:t>
      </w:r>
      <w:r>
        <w:rPr>
          <w:sz w:val="28"/>
          <w:szCs w:val="28"/>
          <w:u w:val="single"/>
        </w:rPr>
        <w:t>Перечень работ, на которых запрещается применение труда раб</w:t>
      </w:r>
      <w:r>
        <w:rPr>
          <w:sz w:val="28"/>
          <w:szCs w:val="28"/>
          <w:u w:val="single"/>
        </w:rPr>
        <w:t xml:space="preserve">отников в возрасте до восемнадцати лет, утверждён Постановлением Правительства РФ от 25.02.2000 № 163 «Об утверждении перечня тяжелых работ и работ с вредными или </w:t>
      </w:r>
      <w:r>
        <w:rPr>
          <w:sz w:val="28"/>
          <w:szCs w:val="28"/>
          <w:u w:val="single"/>
        </w:rPr>
        <w:lastRenderedPageBreak/>
        <w:t>опасными условиями труда, при выполнении которых запрещается применение труда лиц моложе восе</w:t>
      </w:r>
      <w:r>
        <w:rPr>
          <w:sz w:val="28"/>
          <w:szCs w:val="28"/>
          <w:u w:val="single"/>
        </w:rPr>
        <w:t xml:space="preserve">мнадцати лет». </w:t>
      </w:r>
    </w:p>
    <w:p w:rsidR="00CD32E8" w:rsidRDefault="009E7043">
      <w:pPr>
        <w:pStyle w:val="ConsPlusNormal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Подросткам также запрещаются переноска и передвижение тяжестей, превышающих установленные для них предельные </w:t>
      </w:r>
      <w:hyperlink r:id="rId13" w:history="1">
        <w:r>
          <w:rPr>
            <w:sz w:val="28"/>
            <w:szCs w:val="28"/>
            <w:u w:val="single"/>
          </w:rPr>
          <w:t>нормы</w:t>
        </w:r>
      </w:hyperlink>
      <w:r>
        <w:rPr>
          <w:sz w:val="28"/>
          <w:szCs w:val="28"/>
          <w:u w:val="single"/>
        </w:rPr>
        <w:t xml:space="preserve">, которые утверждены Постановлением Минтруда России от 07.04.1999 № 7 «Об утверждении норм предельно допустимых нагрузок для лиц моложе восемнадцати лет при подъеме и перемещении тяжестей вручную». </w:t>
      </w:r>
    </w:p>
    <w:p w:rsidR="00CD32E8" w:rsidRDefault="009E7043">
      <w:pPr>
        <w:pStyle w:val="ConsPlusNormal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случаях трудоустройство работника моложе 18 лет </w:t>
      </w:r>
      <w:r>
        <w:rPr>
          <w:sz w:val="28"/>
          <w:szCs w:val="28"/>
        </w:rPr>
        <w:t>допускается только после проведения предварительного медицинского осмотра (</w:t>
      </w:r>
      <w:hyperlink r:id="rId14" w:history="1">
        <w:r>
          <w:rPr>
            <w:sz w:val="28"/>
            <w:szCs w:val="28"/>
          </w:rPr>
          <w:t>ст. 266</w:t>
        </w:r>
      </w:hyperlink>
      <w:r>
        <w:rPr>
          <w:sz w:val="28"/>
          <w:szCs w:val="28"/>
        </w:rPr>
        <w:t xml:space="preserve"> ТК РФ). </w:t>
      </w:r>
      <w:r>
        <w:rPr>
          <w:sz w:val="28"/>
          <w:szCs w:val="28"/>
        </w:rPr>
        <w:tab/>
        <w:t>При трудоустройстве подростков на временн</w:t>
      </w:r>
      <w:r>
        <w:rPr>
          <w:sz w:val="28"/>
          <w:szCs w:val="28"/>
        </w:rPr>
        <w:t>ые работы в свободное от учебы время по направлению центра занятости населения медосмотр проводится бесплатно.</w:t>
      </w:r>
    </w:p>
    <w:p w:rsidR="00CD32E8" w:rsidRDefault="009E7043">
      <w:pPr>
        <w:pStyle w:val="ConsPlusNormal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несовершеннолетних работников, получающих</w:t>
      </w:r>
      <w:r>
        <w:rPr>
          <w:sz w:val="28"/>
          <w:szCs w:val="28"/>
        </w:rPr>
        <w:t xml:space="preserve"> общее образование или среднее профессиональное образование, установлены сокращённая продолжительнос</w:t>
      </w:r>
      <w:r>
        <w:rPr>
          <w:sz w:val="28"/>
          <w:szCs w:val="28"/>
        </w:rPr>
        <w:t>ть рабочей недели, сокращенный рабочий день                (</w:t>
      </w:r>
      <w:hyperlink r:id="rId15" w:history="1">
        <w:r>
          <w:rPr>
            <w:sz w:val="28"/>
            <w:szCs w:val="28"/>
          </w:rPr>
          <w:t>ст. 92</w:t>
        </w:r>
      </w:hyperlink>
      <w:r>
        <w:rPr>
          <w:sz w:val="28"/>
          <w:szCs w:val="28"/>
        </w:rPr>
        <w:t>, 94 ТК РФ):</w:t>
      </w:r>
    </w:p>
    <w:p w:rsidR="00CD32E8" w:rsidRDefault="009E7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 рабочей недели в течение учебн</w:t>
      </w:r>
      <w:r>
        <w:rPr>
          <w:sz w:val="28"/>
          <w:szCs w:val="28"/>
        </w:rPr>
        <w:t>ого года при совмещении учебы с работой не может превышать для работников  в возрасте от 14 до 16 лет 12 часов, в возрасте от 16 до 18 лет – 17,5 часов; в каникулярное время продолжительность рабочей недели не может превышать для работников в возрасте от 1</w:t>
      </w:r>
      <w:r>
        <w:rPr>
          <w:sz w:val="28"/>
          <w:szCs w:val="28"/>
        </w:rPr>
        <w:t>4 до 16 лет - 24 часа, в возрасте от 16 до 18 лет - 35 часов;</w:t>
      </w:r>
    </w:p>
    <w:p w:rsidR="00CD32E8" w:rsidRDefault="009E70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продолжительность ежедневной работы (смены) в течение учебного года при совмещении учебы с работой не может превышать для работников в возрасте от 14 до 16 лет - 2,5 часа, в возрасте от 16 до </w:t>
      </w:r>
      <w:r>
        <w:rPr>
          <w:rFonts w:ascii="Times New Roman" w:hAnsi="Times New Roman"/>
          <w:sz w:val="28"/>
          <w:szCs w:val="28"/>
        </w:rPr>
        <w:t>18 лет - 4 часа; в каникулярное время продолжительность ежедневной работы не может превышать для работников в возрасте от 14 до 15 лет – 4 часа, в возрасте от 15 до 16 лет - 5 часов, в возрасте от 16 до 18 лет - 7 часов.</w:t>
      </w:r>
    </w:p>
    <w:p w:rsidR="00CD32E8" w:rsidRDefault="00CD32E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6"/>
        <w:gridCol w:w="1682"/>
        <w:gridCol w:w="1628"/>
        <w:gridCol w:w="1556"/>
        <w:gridCol w:w="1579"/>
        <w:gridCol w:w="1396"/>
      </w:tblGrid>
      <w:tr w:rsidR="00CD32E8">
        <w:tc>
          <w:tcPr>
            <w:tcW w:w="2296" w:type="dxa"/>
            <w:vMerge w:val="restart"/>
          </w:tcPr>
          <w:p w:rsidR="00CD32E8" w:rsidRDefault="009E7043">
            <w:pPr>
              <w:ind w:firstLine="540"/>
              <w:jc w:val="both"/>
            </w:pPr>
            <w:r>
              <w:t xml:space="preserve"> Продолжительность</w:t>
            </w:r>
          </w:p>
        </w:tc>
        <w:tc>
          <w:tcPr>
            <w:tcW w:w="3310" w:type="dxa"/>
            <w:gridSpan w:val="2"/>
          </w:tcPr>
          <w:p w:rsidR="00CD32E8" w:rsidRDefault="009E7043">
            <w:pPr>
              <w:ind w:hanging="28"/>
              <w:jc w:val="center"/>
            </w:pPr>
            <w:r>
              <w:t>В течение учебного года при совмещении учебы с работой</w:t>
            </w:r>
          </w:p>
        </w:tc>
        <w:tc>
          <w:tcPr>
            <w:tcW w:w="4531" w:type="dxa"/>
            <w:gridSpan w:val="3"/>
          </w:tcPr>
          <w:p w:rsidR="00CD32E8" w:rsidRDefault="009E7043">
            <w:pPr>
              <w:ind w:hanging="77"/>
              <w:jc w:val="center"/>
            </w:pPr>
            <w:r>
              <w:t>В каникулярное время</w:t>
            </w:r>
          </w:p>
        </w:tc>
      </w:tr>
      <w:tr w:rsidR="00CD32E8">
        <w:tc>
          <w:tcPr>
            <w:tcW w:w="2296" w:type="dxa"/>
            <w:vMerge/>
          </w:tcPr>
          <w:p w:rsidR="00CD32E8" w:rsidRDefault="00CD32E8">
            <w:pPr>
              <w:ind w:firstLine="540"/>
              <w:jc w:val="both"/>
            </w:pPr>
          </w:p>
        </w:tc>
        <w:tc>
          <w:tcPr>
            <w:tcW w:w="1682" w:type="dxa"/>
          </w:tcPr>
          <w:p w:rsidR="00CD32E8" w:rsidRDefault="009E7043">
            <w:pPr>
              <w:ind w:hanging="28"/>
              <w:jc w:val="center"/>
            </w:pPr>
            <w:r>
              <w:t>Для подростков в возрасте от 14 до 16 лет</w:t>
            </w:r>
          </w:p>
        </w:tc>
        <w:tc>
          <w:tcPr>
            <w:tcW w:w="1628" w:type="dxa"/>
          </w:tcPr>
          <w:p w:rsidR="00CD32E8" w:rsidRDefault="009E7043">
            <w:pPr>
              <w:jc w:val="center"/>
            </w:pPr>
            <w:r>
              <w:t>Для подростков в возрасте от 16 до 18 лет</w:t>
            </w:r>
          </w:p>
        </w:tc>
        <w:tc>
          <w:tcPr>
            <w:tcW w:w="1556" w:type="dxa"/>
          </w:tcPr>
          <w:p w:rsidR="00CD32E8" w:rsidRDefault="009E7043">
            <w:pPr>
              <w:jc w:val="center"/>
            </w:pPr>
            <w:r>
              <w:t>Для подростков в возрасте от 14 до 15 лет</w:t>
            </w:r>
          </w:p>
        </w:tc>
        <w:tc>
          <w:tcPr>
            <w:tcW w:w="1579" w:type="dxa"/>
          </w:tcPr>
          <w:p w:rsidR="00CD32E8" w:rsidRDefault="009E7043">
            <w:pPr>
              <w:jc w:val="center"/>
            </w:pPr>
            <w:r>
              <w:t>Для подростков в возрасте от 15 до 16 лет</w:t>
            </w:r>
          </w:p>
        </w:tc>
        <w:tc>
          <w:tcPr>
            <w:tcW w:w="1396" w:type="dxa"/>
          </w:tcPr>
          <w:p w:rsidR="00CD32E8" w:rsidRDefault="009E7043">
            <w:pPr>
              <w:jc w:val="center"/>
            </w:pPr>
            <w:r>
              <w:t>Для подростков в возрасте от 16 до 18 лет</w:t>
            </w:r>
          </w:p>
        </w:tc>
      </w:tr>
      <w:tr w:rsidR="00CD32E8">
        <w:tc>
          <w:tcPr>
            <w:tcW w:w="2296" w:type="dxa"/>
          </w:tcPr>
          <w:p w:rsidR="00CD32E8" w:rsidRDefault="009E7043">
            <w:pPr>
              <w:jc w:val="both"/>
            </w:pPr>
            <w:r>
              <w:t>Продолжительность рабочей недели</w:t>
            </w:r>
          </w:p>
        </w:tc>
        <w:tc>
          <w:tcPr>
            <w:tcW w:w="1682" w:type="dxa"/>
          </w:tcPr>
          <w:p w:rsidR="00CD32E8" w:rsidRDefault="009E7043">
            <w:pPr>
              <w:ind w:hanging="28"/>
              <w:jc w:val="both"/>
            </w:pPr>
            <w:r>
              <w:t>Не более 12 часов</w:t>
            </w:r>
          </w:p>
        </w:tc>
        <w:tc>
          <w:tcPr>
            <w:tcW w:w="1628" w:type="dxa"/>
          </w:tcPr>
          <w:p w:rsidR="00CD32E8" w:rsidRDefault="009E7043">
            <w:pPr>
              <w:jc w:val="both"/>
            </w:pPr>
            <w:r>
              <w:t>Не более 17,5 часов</w:t>
            </w:r>
          </w:p>
        </w:tc>
        <w:tc>
          <w:tcPr>
            <w:tcW w:w="1556" w:type="dxa"/>
          </w:tcPr>
          <w:p w:rsidR="00CD32E8" w:rsidRDefault="009E7043">
            <w:pPr>
              <w:jc w:val="both"/>
            </w:pPr>
            <w:r>
              <w:t>Не более 24 часов</w:t>
            </w:r>
          </w:p>
        </w:tc>
        <w:tc>
          <w:tcPr>
            <w:tcW w:w="1579" w:type="dxa"/>
          </w:tcPr>
          <w:p w:rsidR="00CD32E8" w:rsidRDefault="009E7043">
            <w:pPr>
              <w:jc w:val="both"/>
            </w:pPr>
            <w:r>
              <w:t>Не более 24 часов</w:t>
            </w:r>
          </w:p>
        </w:tc>
        <w:tc>
          <w:tcPr>
            <w:tcW w:w="1396" w:type="dxa"/>
          </w:tcPr>
          <w:p w:rsidR="00CD32E8" w:rsidRDefault="009E7043">
            <w:pPr>
              <w:jc w:val="both"/>
            </w:pPr>
            <w:r>
              <w:t>Не более 35 часов</w:t>
            </w:r>
          </w:p>
        </w:tc>
      </w:tr>
      <w:tr w:rsidR="00CD32E8">
        <w:tc>
          <w:tcPr>
            <w:tcW w:w="2296" w:type="dxa"/>
          </w:tcPr>
          <w:p w:rsidR="00CD32E8" w:rsidRDefault="009E7043">
            <w:pPr>
              <w:jc w:val="both"/>
            </w:pPr>
            <w:r>
              <w:t>Продолжительность рабочего дня</w:t>
            </w:r>
          </w:p>
        </w:tc>
        <w:tc>
          <w:tcPr>
            <w:tcW w:w="1682" w:type="dxa"/>
          </w:tcPr>
          <w:p w:rsidR="00CD32E8" w:rsidRDefault="009E7043">
            <w:pPr>
              <w:ind w:hanging="28"/>
              <w:jc w:val="both"/>
            </w:pPr>
            <w:r>
              <w:t>Не более 2,5 часа</w:t>
            </w:r>
          </w:p>
        </w:tc>
        <w:tc>
          <w:tcPr>
            <w:tcW w:w="1628" w:type="dxa"/>
          </w:tcPr>
          <w:p w:rsidR="00CD32E8" w:rsidRDefault="009E7043">
            <w:pPr>
              <w:jc w:val="both"/>
            </w:pPr>
            <w:r>
              <w:t>Не более 4 часов</w:t>
            </w:r>
          </w:p>
        </w:tc>
        <w:tc>
          <w:tcPr>
            <w:tcW w:w="1556" w:type="dxa"/>
          </w:tcPr>
          <w:p w:rsidR="00CD32E8" w:rsidRDefault="009E7043">
            <w:pPr>
              <w:jc w:val="both"/>
            </w:pPr>
            <w:r>
              <w:t>Не более 4 часов</w:t>
            </w:r>
          </w:p>
        </w:tc>
        <w:tc>
          <w:tcPr>
            <w:tcW w:w="1579" w:type="dxa"/>
          </w:tcPr>
          <w:p w:rsidR="00CD32E8" w:rsidRDefault="009E7043">
            <w:pPr>
              <w:jc w:val="both"/>
            </w:pPr>
            <w:r>
              <w:t>Не более 5 часов</w:t>
            </w:r>
          </w:p>
        </w:tc>
        <w:tc>
          <w:tcPr>
            <w:tcW w:w="1396" w:type="dxa"/>
          </w:tcPr>
          <w:p w:rsidR="00CD32E8" w:rsidRDefault="009E7043">
            <w:pPr>
              <w:jc w:val="both"/>
            </w:pPr>
            <w:r>
              <w:t>Не более 7 часов</w:t>
            </w:r>
          </w:p>
        </w:tc>
      </w:tr>
    </w:tbl>
    <w:p w:rsidR="00CD32E8" w:rsidRDefault="00CD32E8">
      <w:pPr>
        <w:rPr>
          <w:sz w:val="16"/>
          <w:szCs w:val="16"/>
          <w:highlight w:val="yellow"/>
        </w:rPr>
      </w:pPr>
    </w:p>
    <w:p w:rsidR="00CD32E8" w:rsidRDefault="009E7043">
      <w:pPr>
        <w:pStyle w:val="ConsPlusNormal"/>
        <w:ind w:firstLine="709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Кроме того, запрещены: работа по совместительству (ч.5 ст. 282 ТК РФ), работа вахтовым методом (ст. 298 ТК РФ), работа в религиозных организациях                (ч.2 342 ТК РФ).</w:t>
      </w:r>
      <w:proofErr w:type="gramEnd"/>
      <w:r>
        <w:rPr>
          <w:sz w:val="28"/>
          <w:szCs w:val="28"/>
          <w:u w:val="single"/>
        </w:rPr>
        <w:t xml:space="preserve"> Также </w:t>
      </w:r>
      <w:r>
        <w:rPr>
          <w:color w:val="000000"/>
          <w:sz w:val="28"/>
          <w:szCs w:val="28"/>
          <w:u w:val="single"/>
        </w:rPr>
        <w:t>несовершеннолетним работникам нельзя</w:t>
      </w:r>
      <w:r>
        <w:rPr>
          <w:color w:val="000000"/>
          <w:sz w:val="28"/>
          <w:szCs w:val="28"/>
          <w:u w:val="single"/>
        </w:rPr>
        <w:t xml:space="preserve"> ставить ночные часы работы (с 22 до 6 часов), направлять в служебные командировки, привлекать их к работе сверхурочно, в выходной или нерабочий праздник (</w:t>
      </w:r>
      <w:hyperlink r:id="rId16" w:history="1">
        <w:r>
          <w:rPr>
            <w:color w:val="000000"/>
            <w:sz w:val="28"/>
            <w:szCs w:val="28"/>
            <w:u w:val="single"/>
          </w:rPr>
          <w:t>ч. 1</w:t>
        </w:r>
      </w:hyperlink>
      <w:r>
        <w:rPr>
          <w:color w:val="000000"/>
          <w:sz w:val="28"/>
          <w:szCs w:val="28"/>
          <w:u w:val="single"/>
        </w:rPr>
        <w:t xml:space="preserve">, </w:t>
      </w:r>
      <w:hyperlink r:id="rId17" w:history="1">
        <w:r>
          <w:rPr>
            <w:color w:val="000000"/>
            <w:sz w:val="28"/>
            <w:szCs w:val="28"/>
            <w:u w:val="single"/>
          </w:rPr>
          <w:t>5 ст. 96</w:t>
        </w:r>
      </w:hyperlink>
      <w:r>
        <w:rPr>
          <w:color w:val="000000"/>
          <w:sz w:val="28"/>
          <w:szCs w:val="28"/>
          <w:u w:val="single"/>
        </w:rPr>
        <w:t xml:space="preserve">, </w:t>
      </w:r>
      <w:hyperlink r:id="rId18" w:history="1">
        <w:r>
          <w:rPr>
            <w:color w:val="000000"/>
            <w:sz w:val="28"/>
            <w:szCs w:val="28"/>
            <w:u w:val="single"/>
          </w:rPr>
          <w:t>ч. 5 ст. 99</w:t>
        </w:r>
      </w:hyperlink>
      <w:r>
        <w:rPr>
          <w:color w:val="000000"/>
          <w:sz w:val="28"/>
          <w:szCs w:val="28"/>
          <w:u w:val="single"/>
        </w:rPr>
        <w:t xml:space="preserve">, </w:t>
      </w:r>
      <w:hyperlink r:id="rId19" w:history="1">
        <w:r>
          <w:rPr>
            <w:color w:val="000000"/>
            <w:sz w:val="28"/>
            <w:szCs w:val="28"/>
            <w:u w:val="single"/>
          </w:rPr>
          <w:t>ст. 268</w:t>
        </w:r>
      </w:hyperlink>
      <w:r>
        <w:rPr>
          <w:color w:val="000000"/>
          <w:sz w:val="28"/>
          <w:szCs w:val="28"/>
          <w:u w:val="single"/>
        </w:rPr>
        <w:t xml:space="preserve"> ТК РФ).</w:t>
      </w:r>
    </w:p>
    <w:p w:rsidR="00CD32E8" w:rsidRDefault="009E70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r>
        <w:rPr>
          <w:sz w:val="28"/>
          <w:szCs w:val="28"/>
        </w:rPr>
        <w:t xml:space="preserve">Напоминаем, что на работников, поступивших на работу впервые после 31.12.2020, бумажные трудовые книжки не оформляются. Работодатель формирует в </w:t>
      </w:r>
      <w:r>
        <w:rPr>
          <w:color w:val="000000"/>
          <w:sz w:val="28"/>
          <w:szCs w:val="28"/>
        </w:rPr>
        <w:t>электронном виде сведения о трудовой деятельност</w:t>
      </w:r>
      <w:r>
        <w:rPr>
          <w:color w:val="000000"/>
          <w:sz w:val="28"/>
          <w:szCs w:val="28"/>
        </w:rPr>
        <w:t>и - основную информацию о трудовой деятельности и трудовом стаже каждого работника                      (</w:t>
      </w:r>
      <w:hyperlink r:id="rId20">
        <w:r>
          <w:rPr>
            <w:color w:val="000000"/>
            <w:sz w:val="28"/>
            <w:szCs w:val="28"/>
          </w:rPr>
          <w:t>ст. 66.1</w:t>
        </w:r>
      </w:hyperlink>
      <w:r>
        <w:rPr>
          <w:color w:val="000000"/>
          <w:sz w:val="28"/>
          <w:szCs w:val="28"/>
        </w:rPr>
        <w:t xml:space="preserve"> ТК РФ, </w:t>
      </w:r>
      <w:hyperlink r:id="rId21">
        <w:r>
          <w:rPr>
            <w:color w:val="000000"/>
            <w:sz w:val="28"/>
            <w:szCs w:val="28"/>
          </w:rPr>
          <w:t>ч. 8 ст. 2</w:t>
        </w:r>
      </w:hyperlink>
      <w:r>
        <w:rPr>
          <w:color w:val="000000"/>
          <w:sz w:val="28"/>
          <w:szCs w:val="28"/>
        </w:rPr>
        <w:t xml:space="preserve"> Федерального закона от 16.12.2019 № 439-ФЗ </w:t>
      </w:r>
      <w:r>
        <w:rPr>
          <w:color w:val="000000"/>
          <w:sz w:val="28"/>
          <w:szCs w:val="28"/>
        </w:rPr>
        <w:t xml:space="preserve">                             «О внесении изменений в Трудовой кодекс Российской Федерации в части формирования сведений о трудовой деятельности в электронном виде»).</w:t>
      </w:r>
    </w:p>
    <w:p w:rsidR="00CD32E8" w:rsidRDefault="009E7043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6. Постановлением </w:t>
      </w:r>
      <w:r>
        <w:rPr>
          <w:sz w:val="28"/>
          <w:szCs w:val="28"/>
        </w:rPr>
        <w:t>Главного государственного санитарного врача РФ от 28.09.2020 № 28 утверж</w:t>
      </w:r>
      <w:r>
        <w:rPr>
          <w:sz w:val="28"/>
          <w:szCs w:val="28"/>
        </w:rPr>
        <w:t>дены санитарные правила СП 2.4.3648-20 «Санитарно-эпидемиологические требования к организациям воспитания и обучения, отдыха и оздоровления детей и молодежи». Также постановлением Главного государственного санитарного врача РФ от 27.10.2020 № 32 утверждены</w:t>
      </w:r>
      <w:r>
        <w:rPr>
          <w:sz w:val="28"/>
          <w:szCs w:val="28"/>
        </w:rPr>
        <w:t xml:space="preserve">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населения». </w:t>
      </w:r>
      <w:r>
        <w:rPr>
          <w:iCs/>
          <w:sz w:val="28"/>
          <w:szCs w:val="28"/>
        </w:rPr>
        <w:t>В соответствии с пунктом 3.4.3</w:t>
      </w:r>
      <w:r>
        <w:rPr>
          <w:sz w:val="28"/>
          <w:szCs w:val="28"/>
        </w:rPr>
        <w:t xml:space="preserve"> санитарных правил</w:t>
      </w:r>
      <w:r>
        <w:rPr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СП 2.4.3648-20 для всех о</w:t>
      </w:r>
      <w:r>
        <w:rPr>
          <w:sz w:val="28"/>
          <w:szCs w:val="28"/>
        </w:rPr>
        <w:t>бучающихся должны быть созданы условия для организации питания.</w:t>
      </w:r>
    </w:p>
    <w:p w:rsidR="00CD32E8" w:rsidRDefault="009E70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Минтруда России от 09.12.2014 № 997н утверждены Типовые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</w:t>
      </w:r>
      <w:r>
        <w:rPr>
          <w:rFonts w:ascii="Times New Roman" w:hAnsi="Times New Roman"/>
          <w:sz w:val="28"/>
          <w:szCs w:val="28"/>
        </w:rPr>
        <w:t>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CD32E8" w:rsidRDefault="009E70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Типовыми нормами предусмотрено выдача специальной одежды, специальной обуви и других средств индивидуально</w:t>
      </w:r>
      <w:r>
        <w:rPr>
          <w:rFonts w:ascii="Times New Roman" w:hAnsi="Times New Roman"/>
          <w:sz w:val="28"/>
          <w:szCs w:val="28"/>
        </w:rPr>
        <w:t>й защиты, в том числе по профессиям «дворник, уборщик территории», «подсобный рабочий». Каких-либо особенностей в отношении обеспечения СИЗ и смывающими средствами несовершеннолетних работников в возрасте от 14 до 18 лет законом не установлено.</w:t>
      </w:r>
    </w:p>
    <w:p w:rsidR="00CD32E8" w:rsidRDefault="009E70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ра</w:t>
      </w:r>
      <w:r>
        <w:rPr>
          <w:rFonts w:ascii="Times New Roman" w:hAnsi="Times New Roman"/>
          <w:sz w:val="28"/>
          <w:szCs w:val="28"/>
        </w:rPr>
        <w:t xml:space="preserve">ботодатель вправе самостоятельно определить, каким должностям (профессиям), предусмотренным типовыми нормами бесплатной выдачи специальной одежды, специальной обуви и других средств индивидуальной защиты, наиболее близки трудовые функции работника, и </w:t>
      </w:r>
      <w:proofErr w:type="gramStart"/>
      <w:r>
        <w:rPr>
          <w:rFonts w:ascii="Times New Roman" w:hAnsi="Times New Roman"/>
          <w:sz w:val="28"/>
          <w:szCs w:val="28"/>
        </w:rPr>
        <w:t>устан</w:t>
      </w:r>
      <w:r>
        <w:rPr>
          <w:rFonts w:ascii="Times New Roman" w:hAnsi="Times New Roman"/>
          <w:sz w:val="28"/>
          <w:szCs w:val="28"/>
        </w:rPr>
        <w:t>овить для них соответствующие нормы выдачи СИЗ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CD32E8" w:rsidRDefault="009E70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учитывать, что работодатель обязан </w:t>
      </w:r>
      <w:proofErr w:type="gramStart"/>
      <w:r>
        <w:rPr>
          <w:rFonts w:ascii="Times New Roman" w:hAnsi="Times New Roman"/>
          <w:sz w:val="28"/>
          <w:szCs w:val="28"/>
        </w:rPr>
        <w:t>обеспечить работника СИЗ</w:t>
      </w:r>
      <w:proofErr w:type="gramEnd"/>
      <w:r>
        <w:rPr>
          <w:rFonts w:ascii="Times New Roman" w:hAnsi="Times New Roman"/>
          <w:sz w:val="28"/>
          <w:szCs w:val="28"/>
        </w:rPr>
        <w:t>, которые имеют целью предотвращение или уменьшение воздействия на работников вредных и (или) опасных производственных факторов, а также для</w:t>
      </w:r>
      <w:r>
        <w:rPr>
          <w:rFonts w:ascii="Times New Roman" w:hAnsi="Times New Roman"/>
          <w:sz w:val="28"/>
          <w:szCs w:val="28"/>
        </w:rPr>
        <w:t xml:space="preserve"> защиты от загрязнения, которым он подвергается при выполнении своих фактических обязанностей.</w:t>
      </w:r>
    </w:p>
    <w:p w:rsidR="00CD32E8" w:rsidRDefault="009E70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bCs/>
          <w:sz w:val="28"/>
          <w:szCs w:val="28"/>
        </w:rPr>
        <w:t xml:space="preserve">Все принятые на временные работы несовершеннолетние граждане перед допуском к самостоятельной работе на </w:t>
      </w:r>
      <w:proofErr w:type="gramStart"/>
      <w:r>
        <w:rPr>
          <w:rFonts w:ascii="Times New Roman" w:hAnsi="Times New Roman"/>
          <w:bCs/>
          <w:sz w:val="28"/>
          <w:szCs w:val="28"/>
        </w:rPr>
        <w:t>предприятии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должны пройти обучение по безопасности тру</w:t>
      </w:r>
      <w:r>
        <w:rPr>
          <w:rFonts w:ascii="Times New Roman" w:hAnsi="Times New Roman"/>
          <w:bCs/>
          <w:sz w:val="28"/>
          <w:szCs w:val="28"/>
        </w:rPr>
        <w:t>да.</w:t>
      </w:r>
    </w:p>
    <w:p w:rsidR="00CD32E8" w:rsidRDefault="009E7043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подростков проходит в виде вводного и первичного инструктажей:</w:t>
      </w:r>
    </w:p>
    <w:p w:rsidR="00CD32E8" w:rsidRDefault="009E7043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rStyle w:val="ab"/>
          <w:i w:val="0"/>
          <w:sz w:val="28"/>
          <w:szCs w:val="28"/>
        </w:rPr>
        <w:lastRenderedPageBreak/>
        <w:t>- вводный инструктаж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проводит инженер по охране труда с одним или группой лиц. О проведении вводного инструктажа делается запись в типовом журнале регистрации вводного инструктажа </w:t>
      </w:r>
      <w:r>
        <w:rPr>
          <w:bCs/>
          <w:sz w:val="28"/>
          <w:szCs w:val="28"/>
        </w:rPr>
        <w:t xml:space="preserve">с обязательной подписью инструктируемого и инструктирующего; </w:t>
      </w:r>
    </w:p>
    <w:p w:rsidR="00CD32E8" w:rsidRDefault="009E7043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первичный инструктаж на </w:t>
      </w:r>
      <w:proofErr w:type="gramStart"/>
      <w:r>
        <w:rPr>
          <w:bCs/>
          <w:sz w:val="28"/>
          <w:szCs w:val="28"/>
        </w:rPr>
        <w:t>рабочем</w:t>
      </w:r>
      <w:proofErr w:type="gramEnd"/>
      <w:r>
        <w:rPr>
          <w:bCs/>
          <w:sz w:val="28"/>
          <w:szCs w:val="28"/>
        </w:rPr>
        <w:t xml:space="preserve"> месте проводят до начала работы непосредственно на рабочем месте по специальной программе индивидуального инструктажа или с группой лиц, занятых одним видом раб</w:t>
      </w:r>
      <w:r>
        <w:rPr>
          <w:bCs/>
          <w:sz w:val="28"/>
          <w:szCs w:val="28"/>
        </w:rPr>
        <w:t xml:space="preserve">оты. Инструктаж на </w:t>
      </w:r>
      <w:proofErr w:type="gramStart"/>
      <w:r>
        <w:rPr>
          <w:bCs/>
          <w:sz w:val="28"/>
          <w:szCs w:val="28"/>
        </w:rPr>
        <w:t>рабочем</w:t>
      </w:r>
      <w:proofErr w:type="gramEnd"/>
      <w:r>
        <w:rPr>
          <w:bCs/>
          <w:sz w:val="28"/>
          <w:szCs w:val="28"/>
        </w:rPr>
        <w:t xml:space="preserve"> месте с несовершеннолетними проводит непосредственный руководитель. О проведении первичного инструктажа руководитель, проводивший инструктаж, делает запись в типовом журнале регистрации на рабочем месте с обязательной подписью ин</w:t>
      </w:r>
      <w:r>
        <w:rPr>
          <w:bCs/>
          <w:sz w:val="28"/>
          <w:szCs w:val="28"/>
        </w:rPr>
        <w:t>структируемого и инструктирующего.</w:t>
      </w:r>
    </w:p>
    <w:p w:rsidR="00CD32E8" w:rsidRDefault="009E704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HTML"/>
          <w:i w:val="0"/>
          <w:sz w:val="28"/>
          <w:szCs w:val="28"/>
        </w:rPr>
        <w:t>Цель инструктажей -</w:t>
      </w:r>
      <w:r>
        <w:rPr>
          <w:sz w:val="28"/>
          <w:szCs w:val="28"/>
        </w:rPr>
        <w:t xml:space="preserve"> дать общие знания по безопасности, о правилах поведения на предприятии, ознакомить с вопросами электробезопасности, со спецификой работы предприятия.</w:t>
      </w:r>
    </w:p>
    <w:p w:rsidR="00CD32E8" w:rsidRDefault="00CD32E8">
      <w:pPr>
        <w:ind w:firstLine="709"/>
        <w:jc w:val="both"/>
        <w:rPr>
          <w:sz w:val="28"/>
          <w:szCs w:val="28"/>
        </w:rPr>
      </w:pPr>
    </w:p>
    <w:p w:rsidR="00CD32E8" w:rsidRDefault="00CD32E8">
      <w:pPr>
        <w:jc w:val="both"/>
        <w:rPr>
          <w:sz w:val="28"/>
          <w:szCs w:val="28"/>
        </w:rPr>
      </w:pPr>
    </w:p>
    <w:p w:rsidR="00CD32E8" w:rsidRDefault="00CD32E8">
      <w:pPr>
        <w:jc w:val="both"/>
        <w:rPr>
          <w:bCs/>
          <w:sz w:val="28"/>
          <w:szCs w:val="36"/>
        </w:rPr>
      </w:pPr>
    </w:p>
    <w:sectPr w:rsidR="00CD32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E97"/>
    <w:multiLevelType w:val="hybridMultilevel"/>
    <w:tmpl w:val="DBAE4AFC"/>
    <w:lvl w:ilvl="0" w:tplc="1252416E">
      <w:start w:val="3"/>
      <w:numFmt w:val="decimal"/>
      <w:lvlText w:val="%1."/>
      <w:lvlJc w:val="left"/>
      <w:pPr>
        <w:ind w:left="1069" w:hanging="360"/>
      </w:pPr>
    </w:lvl>
    <w:lvl w:ilvl="1" w:tplc="9022D21A">
      <w:start w:val="1"/>
      <w:numFmt w:val="lowerLetter"/>
      <w:lvlText w:val="%2."/>
      <w:lvlJc w:val="left"/>
      <w:pPr>
        <w:ind w:left="1789" w:hanging="360"/>
      </w:pPr>
    </w:lvl>
    <w:lvl w:ilvl="2" w:tplc="CFDEFD9C">
      <w:start w:val="1"/>
      <w:numFmt w:val="lowerRoman"/>
      <w:lvlText w:val="%3."/>
      <w:lvlJc w:val="right"/>
      <w:pPr>
        <w:ind w:left="2509" w:hanging="180"/>
      </w:pPr>
    </w:lvl>
    <w:lvl w:ilvl="3" w:tplc="DF5C72CA">
      <w:start w:val="1"/>
      <w:numFmt w:val="decimal"/>
      <w:lvlText w:val="%4."/>
      <w:lvlJc w:val="left"/>
      <w:pPr>
        <w:ind w:left="3229" w:hanging="360"/>
      </w:pPr>
    </w:lvl>
    <w:lvl w:ilvl="4" w:tplc="21B44F74">
      <w:start w:val="1"/>
      <w:numFmt w:val="lowerLetter"/>
      <w:lvlText w:val="%5."/>
      <w:lvlJc w:val="left"/>
      <w:pPr>
        <w:ind w:left="3949" w:hanging="360"/>
      </w:pPr>
    </w:lvl>
    <w:lvl w:ilvl="5" w:tplc="9FF85CF2">
      <w:start w:val="1"/>
      <w:numFmt w:val="lowerRoman"/>
      <w:lvlText w:val="%6."/>
      <w:lvlJc w:val="right"/>
      <w:pPr>
        <w:ind w:left="4669" w:hanging="180"/>
      </w:pPr>
    </w:lvl>
    <w:lvl w:ilvl="6" w:tplc="2AA2162A">
      <w:start w:val="1"/>
      <w:numFmt w:val="decimal"/>
      <w:lvlText w:val="%7."/>
      <w:lvlJc w:val="left"/>
      <w:pPr>
        <w:ind w:left="5389" w:hanging="360"/>
      </w:pPr>
    </w:lvl>
    <w:lvl w:ilvl="7" w:tplc="CADA904E">
      <w:start w:val="1"/>
      <w:numFmt w:val="lowerLetter"/>
      <w:lvlText w:val="%8."/>
      <w:lvlJc w:val="left"/>
      <w:pPr>
        <w:ind w:left="6109" w:hanging="360"/>
      </w:pPr>
    </w:lvl>
    <w:lvl w:ilvl="8" w:tplc="89E210D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144790"/>
    <w:multiLevelType w:val="hybridMultilevel"/>
    <w:tmpl w:val="2C82021A"/>
    <w:lvl w:ilvl="0" w:tplc="0D1C3B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3638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2D470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0C84D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1CCD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2AA2B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C60C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8EF3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9268B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2A66523"/>
    <w:multiLevelType w:val="hybridMultilevel"/>
    <w:tmpl w:val="86CEF63A"/>
    <w:lvl w:ilvl="0" w:tplc="921CC6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30C1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11EC5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920C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3CAD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2E097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80D2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727E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4C4DE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4E1125B"/>
    <w:multiLevelType w:val="hybridMultilevel"/>
    <w:tmpl w:val="A7AE3266"/>
    <w:lvl w:ilvl="0" w:tplc="C9EE29E6">
      <w:start w:val="1"/>
      <w:numFmt w:val="decimal"/>
      <w:lvlText w:val="%1."/>
      <w:lvlJc w:val="left"/>
      <w:pPr>
        <w:ind w:left="1068" w:hanging="360"/>
      </w:pPr>
    </w:lvl>
    <w:lvl w:ilvl="1" w:tplc="C4883B7E">
      <w:start w:val="1"/>
      <w:numFmt w:val="lowerLetter"/>
      <w:lvlText w:val="%2."/>
      <w:lvlJc w:val="left"/>
      <w:pPr>
        <w:ind w:left="1788" w:hanging="360"/>
      </w:pPr>
    </w:lvl>
    <w:lvl w:ilvl="2" w:tplc="E40C2AD8">
      <w:start w:val="1"/>
      <w:numFmt w:val="lowerRoman"/>
      <w:lvlText w:val="%3."/>
      <w:lvlJc w:val="right"/>
      <w:pPr>
        <w:ind w:left="2508" w:hanging="180"/>
      </w:pPr>
    </w:lvl>
    <w:lvl w:ilvl="3" w:tplc="2C7290D8">
      <w:start w:val="1"/>
      <w:numFmt w:val="decimal"/>
      <w:lvlText w:val="%4."/>
      <w:lvlJc w:val="left"/>
      <w:pPr>
        <w:ind w:left="3228" w:hanging="360"/>
      </w:pPr>
    </w:lvl>
    <w:lvl w:ilvl="4" w:tplc="36DE3AD8">
      <w:start w:val="1"/>
      <w:numFmt w:val="lowerLetter"/>
      <w:lvlText w:val="%5."/>
      <w:lvlJc w:val="left"/>
      <w:pPr>
        <w:ind w:left="3948" w:hanging="360"/>
      </w:pPr>
    </w:lvl>
    <w:lvl w:ilvl="5" w:tplc="037C2782">
      <w:start w:val="1"/>
      <w:numFmt w:val="lowerRoman"/>
      <w:lvlText w:val="%6."/>
      <w:lvlJc w:val="right"/>
      <w:pPr>
        <w:ind w:left="4668" w:hanging="180"/>
      </w:pPr>
    </w:lvl>
    <w:lvl w:ilvl="6" w:tplc="05C6E65A">
      <w:start w:val="1"/>
      <w:numFmt w:val="decimal"/>
      <w:lvlText w:val="%7."/>
      <w:lvlJc w:val="left"/>
      <w:pPr>
        <w:ind w:left="5388" w:hanging="360"/>
      </w:pPr>
    </w:lvl>
    <w:lvl w:ilvl="7" w:tplc="BED6BE2C">
      <w:start w:val="1"/>
      <w:numFmt w:val="lowerLetter"/>
      <w:lvlText w:val="%8."/>
      <w:lvlJc w:val="left"/>
      <w:pPr>
        <w:ind w:left="6108" w:hanging="360"/>
      </w:pPr>
    </w:lvl>
    <w:lvl w:ilvl="8" w:tplc="2612D5E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A8647F"/>
    <w:multiLevelType w:val="hybridMultilevel"/>
    <w:tmpl w:val="536CAADC"/>
    <w:lvl w:ilvl="0" w:tplc="6ED08B36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832B1F4">
      <w:start w:val="1"/>
      <w:numFmt w:val="lowerLetter"/>
      <w:lvlText w:val="%2."/>
      <w:lvlJc w:val="left"/>
      <w:pPr>
        <w:ind w:left="1788" w:hanging="360"/>
      </w:pPr>
    </w:lvl>
    <w:lvl w:ilvl="2" w:tplc="7D0A58BC">
      <w:start w:val="1"/>
      <w:numFmt w:val="lowerRoman"/>
      <w:lvlText w:val="%3."/>
      <w:lvlJc w:val="right"/>
      <w:pPr>
        <w:ind w:left="2508" w:hanging="180"/>
      </w:pPr>
    </w:lvl>
    <w:lvl w:ilvl="3" w:tplc="C1707286">
      <w:start w:val="1"/>
      <w:numFmt w:val="decimal"/>
      <w:lvlText w:val="%4."/>
      <w:lvlJc w:val="left"/>
      <w:pPr>
        <w:ind w:left="3228" w:hanging="360"/>
      </w:pPr>
    </w:lvl>
    <w:lvl w:ilvl="4" w:tplc="15665EA0">
      <w:start w:val="1"/>
      <w:numFmt w:val="lowerLetter"/>
      <w:lvlText w:val="%5."/>
      <w:lvlJc w:val="left"/>
      <w:pPr>
        <w:ind w:left="3948" w:hanging="360"/>
      </w:pPr>
    </w:lvl>
    <w:lvl w:ilvl="5" w:tplc="BBC055E6">
      <w:start w:val="1"/>
      <w:numFmt w:val="lowerRoman"/>
      <w:lvlText w:val="%6."/>
      <w:lvlJc w:val="right"/>
      <w:pPr>
        <w:ind w:left="4668" w:hanging="180"/>
      </w:pPr>
    </w:lvl>
    <w:lvl w:ilvl="6" w:tplc="E68AB90A">
      <w:start w:val="1"/>
      <w:numFmt w:val="decimal"/>
      <w:lvlText w:val="%7."/>
      <w:lvlJc w:val="left"/>
      <w:pPr>
        <w:ind w:left="5388" w:hanging="360"/>
      </w:pPr>
    </w:lvl>
    <w:lvl w:ilvl="7" w:tplc="4E5CB962">
      <w:start w:val="1"/>
      <w:numFmt w:val="lowerLetter"/>
      <w:lvlText w:val="%8."/>
      <w:lvlJc w:val="left"/>
      <w:pPr>
        <w:ind w:left="6108" w:hanging="360"/>
      </w:pPr>
    </w:lvl>
    <w:lvl w:ilvl="8" w:tplc="656ECD4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4E6FE7"/>
    <w:multiLevelType w:val="hybridMultilevel"/>
    <w:tmpl w:val="65DC06B2"/>
    <w:lvl w:ilvl="0" w:tplc="42201A48">
      <w:start w:val="1"/>
      <w:numFmt w:val="decimal"/>
      <w:lvlText w:val="%1."/>
      <w:lvlJc w:val="left"/>
      <w:pPr>
        <w:ind w:left="1350" w:hanging="810"/>
      </w:pPr>
    </w:lvl>
    <w:lvl w:ilvl="1" w:tplc="8286DB68">
      <w:start w:val="1"/>
      <w:numFmt w:val="lowerLetter"/>
      <w:lvlText w:val="%2."/>
      <w:lvlJc w:val="left"/>
      <w:pPr>
        <w:ind w:left="1620" w:hanging="360"/>
      </w:pPr>
    </w:lvl>
    <w:lvl w:ilvl="2" w:tplc="A8E4B752">
      <w:start w:val="1"/>
      <w:numFmt w:val="lowerRoman"/>
      <w:lvlText w:val="%3."/>
      <w:lvlJc w:val="right"/>
      <w:pPr>
        <w:ind w:left="2340" w:hanging="180"/>
      </w:pPr>
    </w:lvl>
    <w:lvl w:ilvl="3" w:tplc="6730224C">
      <w:start w:val="1"/>
      <w:numFmt w:val="decimal"/>
      <w:lvlText w:val="%4."/>
      <w:lvlJc w:val="left"/>
      <w:pPr>
        <w:ind w:left="3060" w:hanging="360"/>
      </w:pPr>
    </w:lvl>
    <w:lvl w:ilvl="4" w:tplc="02CA75BA">
      <w:start w:val="1"/>
      <w:numFmt w:val="lowerLetter"/>
      <w:lvlText w:val="%5."/>
      <w:lvlJc w:val="left"/>
      <w:pPr>
        <w:ind w:left="3780" w:hanging="360"/>
      </w:pPr>
    </w:lvl>
    <w:lvl w:ilvl="5" w:tplc="D98A1910">
      <w:start w:val="1"/>
      <w:numFmt w:val="lowerRoman"/>
      <w:lvlText w:val="%6."/>
      <w:lvlJc w:val="right"/>
      <w:pPr>
        <w:ind w:left="4500" w:hanging="180"/>
      </w:pPr>
    </w:lvl>
    <w:lvl w:ilvl="6" w:tplc="CA747564">
      <w:start w:val="1"/>
      <w:numFmt w:val="decimal"/>
      <w:lvlText w:val="%7."/>
      <w:lvlJc w:val="left"/>
      <w:pPr>
        <w:ind w:left="5220" w:hanging="360"/>
      </w:pPr>
    </w:lvl>
    <w:lvl w:ilvl="7" w:tplc="050CD658">
      <w:start w:val="1"/>
      <w:numFmt w:val="lowerLetter"/>
      <w:lvlText w:val="%8."/>
      <w:lvlJc w:val="left"/>
      <w:pPr>
        <w:ind w:left="5940" w:hanging="360"/>
      </w:pPr>
    </w:lvl>
    <w:lvl w:ilvl="8" w:tplc="89B458EE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2D04442"/>
    <w:multiLevelType w:val="hybridMultilevel"/>
    <w:tmpl w:val="C36EFC60"/>
    <w:lvl w:ilvl="0" w:tplc="9220391C">
      <w:start w:val="3"/>
      <w:numFmt w:val="decimal"/>
      <w:lvlText w:val="%1."/>
      <w:lvlJc w:val="left"/>
      <w:pPr>
        <w:ind w:left="1069" w:hanging="360"/>
      </w:pPr>
    </w:lvl>
    <w:lvl w:ilvl="1" w:tplc="670A8BE0">
      <w:start w:val="1"/>
      <w:numFmt w:val="lowerLetter"/>
      <w:lvlText w:val="%2."/>
      <w:lvlJc w:val="left"/>
      <w:pPr>
        <w:ind w:left="1789" w:hanging="360"/>
      </w:pPr>
    </w:lvl>
    <w:lvl w:ilvl="2" w:tplc="7E782228">
      <w:start w:val="1"/>
      <w:numFmt w:val="lowerRoman"/>
      <w:lvlText w:val="%3."/>
      <w:lvlJc w:val="right"/>
      <w:pPr>
        <w:ind w:left="2509" w:hanging="180"/>
      </w:pPr>
    </w:lvl>
    <w:lvl w:ilvl="3" w:tplc="BAAE2EBC">
      <w:start w:val="1"/>
      <w:numFmt w:val="decimal"/>
      <w:lvlText w:val="%4."/>
      <w:lvlJc w:val="left"/>
      <w:pPr>
        <w:ind w:left="3229" w:hanging="360"/>
      </w:pPr>
    </w:lvl>
    <w:lvl w:ilvl="4" w:tplc="3AE4A57A">
      <w:start w:val="1"/>
      <w:numFmt w:val="lowerLetter"/>
      <w:lvlText w:val="%5."/>
      <w:lvlJc w:val="left"/>
      <w:pPr>
        <w:ind w:left="3949" w:hanging="360"/>
      </w:pPr>
    </w:lvl>
    <w:lvl w:ilvl="5" w:tplc="AF34CCA0">
      <w:start w:val="1"/>
      <w:numFmt w:val="lowerRoman"/>
      <w:lvlText w:val="%6."/>
      <w:lvlJc w:val="right"/>
      <w:pPr>
        <w:ind w:left="4669" w:hanging="180"/>
      </w:pPr>
    </w:lvl>
    <w:lvl w:ilvl="6" w:tplc="CDB8B1EE">
      <w:start w:val="1"/>
      <w:numFmt w:val="decimal"/>
      <w:lvlText w:val="%7."/>
      <w:lvlJc w:val="left"/>
      <w:pPr>
        <w:ind w:left="5389" w:hanging="360"/>
      </w:pPr>
    </w:lvl>
    <w:lvl w:ilvl="7" w:tplc="6E7C0CC0">
      <w:start w:val="1"/>
      <w:numFmt w:val="lowerLetter"/>
      <w:lvlText w:val="%8."/>
      <w:lvlJc w:val="left"/>
      <w:pPr>
        <w:ind w:left="6109" w:hanging="360"/>
      </w:pPr>
    </w:lvl>
    <w:lvl w:ilvl="8" w:tplc="929E2D7E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7B0EA0"/>
    <w:multiLevelType w:val="hybridMultilevel"/>
    <w:tmpl w:val="875A2222"/>
    <w:lvl w:ilvl="0" w:tplc="F816EF84">
      <w:start w:val="1"/>
      <w:numFmt w:val="decimal"/>
      <w:lvlText w:val="%1."/>
      <w:lvlJc w:val="left"/>
      <w:pPr>
        <w:ind w:left="1070" w:hanging="360"/>
      </w:pPr>
    </w:lvl>
    <w:lvl w:ilvl="1" w:tplc="43D0054A">
      <w:start w:val="1"/>
      <w:numFmt w:val="lowerLetter"/>
      <w:lvlText w:val="%2."/>
      <w:lvlJc w:val="left"/>
      <w:pPr>
        <w:ind w:left="1789" w:hanging="360"/>
      </w:pPr>
    </w:lvl>
    <w:lvl w:ilvl="2" w:tplc="30B86938">
      <w:start w:val="1"/>
      <w:numFmt w:val="lowerRoman"/>
      <w:lvlText w:val="%3."/>
      <w:lvlJc w:val="right"/>
      <w:pPr>
        <w:ind w:left="2509" w:hanging="180"/>
      </w:pPr>
    </w:lvl>
    <w:lvl w:ilvl="3" w:tplc="1CAAFCE4">
      <w:start w:val="1"/>
      <w:numFmt w:val="decimal"/>
      <w:lvlText w:val="%4."/>
      <w:lvlJc w:val="left"/>
      <w:pPr>
        <w:ind w:left="3229" w:hanging="360"/>
      </w:pPr>
    </w:lvl>
    <w:lvl w:ilvl="4" w:tplc="502C043A">
      <w:start w:val="1"/>
      <w:numFmt w:val="lowerLetter"/>
      <w:lvlText w:val="%5."/>
      <w:lvlJc w:val="left"/>
      <w:pPr>
        <w:ind w:left="3949" w:hanging="360"/>
      </w:pPr>
    </w:lvl>
    <w:lvl w:ilvl="5" w:tplc="697C4EA4">
      <w:start w:val="1"/>
      <w:numFmt w:val="lowerRoman"/>
      <w:lvlText w:val="%6."/>
      <w:lvlJc w:val="right"/>
      <w:pPr>
        <w:ind w:left="4669" w:hanging="180"/>
      </w:pPr>
    </w:lvl>
    <w:lvl w:ilvl="6" w:tplc="39AAC148">
      <w:start w:val="1"/>
      <w:numFmt w:val="decimal"/>
      <w:lvlText w:val="%7."/>
      <w:lvlJc w:val="left"/>
      <w:pPr>
        <w:ind w:left="5389" w:hanging="360"/>
      </w:pPr>
    </w:lvl>
    <w:lvl w:ilvl="7" w:tplc="736EC7AC">
      <w:start w:val="1"/>
      <w:numFmt w:val="lowerLetter"/>
      <w:lvlText w:val="%8."/>
      <w:lvlJc w:val="left"/>
      <w:pPr>
        <w:ind w:left="6109" w:hanging="360"/>
      </w:pPr>
    </w:lvl>
    <w:lvl w:ilvl="8" w:tplc="9D34715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ED4D17"/>
    <w:multiLevelType w:val="hybridMultilevel"/>
    <w:tmpl w:val="83D87CF6"/>
    <w:lvl w:ilvl="0" w:tplc="8A46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6485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4BCB9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E474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6021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D08D2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8DCB4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276B2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E7EFC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744702D"/>
    <w:multiLevelType w:val="hybridMultilevel"/>
    <w:tmpl w:val="967EC748"/>
    <w:lvl w:ilvl="0" w:tplc="C9BA8032">
      <w:start w:val="1"/>
      <w:numFmt w:val="bullet"/>
      <w:lvlText w:val=""/>
      <w:lvlJc w:val="left"/>
      <w:pPr>
        <w:ind w:left="1335" w:hanging="360"/>
      </w:pPr>
      <w:rPr>
        <w:rFonts w:ascii="Symbol" w:hAnsi="Symbol"/>
      </w:rPr>
    </w:lvl>
    <w:lvl w:ilvl="1" w:tplc="975C5350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/>
      </w:rPr>
    </w:lvl>
    <w:lvl w:ilvl="2" w:tplc="8036389C">
      <w:start w:val="1"/>
      <w:numFmt w:val="bullet"/>
      <w:lvlText w:val=""/>
      <w:lvlJc w:val="left"/>
      <w:pPr>
        <w:ind w:left="2775" w:hanging="360"/>
      </w:pPr>
      <w:rPr>
        <w:rFonts w:ascii="Wingdings" w:hAnsi="Wingdings"/>
      </w:rPr>
    </w:lvl>
    <w:lvl w:ilvl="3" w:tplc="14101614">
      <w:start w:val="1"/>
      <w:numFmt w:val="bullet"/>
      <w:lvlText w:val=""/>
      <w:lvlJc w:val="left"/>
      <w:pPr>
        <w:ind w:left="3495" w:hanging="360"/>
      </w:pPr>
      <w:rPr>
        <w:rFonts w:ascii="Symbol" w:hAnsi="Symbol"/>
      </w:rPr>
    </w:lvl>
    <w:lvl w:ilvl="4" w:tplc="74181F68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/>
      </w:rPr>
    </w:lvl>
    <w:lvl w:ilvl="5" w:tplc="6450CEF2">
      <w:start w:val="1"/>
      <w:numFmt w:val="bullet"/>
      <w:lvlText w:val=""/>
      <w:lvlJc w:val="left"/>
      <w:pPr>
        <w:ind w:left="4935" w:hanging="360"/>
      </w:pPr>
      <w:rPr>
        <w:rFonts w:ascii="Wingdings" w:hAnsi="Wingdings"/>
      </w:rPr>
    </w:lvl>
    <w:lvl w:ilvl="6" w:tplc="B8AC262E">
      <w:start w:val="1"/>
      <w:numFmt w:val="bullet"/>
      <w:lvlText w:val=""/>
      <w:lvlJc w:val="left"/>
      <w:pPr>
        <w:ind w:left="5655" w:hanging="360"/>
      </w:pPr>
      <w:rPr>
        <w:rFonts w:ascii="Symbol" w:hAnsi="Symbol"/>
      </w:rPr>
    </w:lvl>
    <w:lvl w:ilvl="7" w:tplc="F99CA096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/>
      </w:rPr>
    </w:lvl>
    <w:lvl w:ilvl="8" w:tplc="1D5498FC">
      <w:start w:val="1"/>
      <w:numFmt w:val="bullet"/>
      <w:lvlText w:val=""/>
      <w:lvlJc w:val="left"/>
      <w:pPr>
        <w:ind w:left="7095" w:hanging="360"/>
      </w:pPr>
      <w:rPr>
        <w:rFonts w:ascii="Wingdings" w:hAnsi="Wingdings"/>
      </w:rPr>
    </w:lvl>
  </w:abstractNum>
  <w:abstractNum w:abstractNumId="10">
    <w:nsid w:val="6F920B11"/>
    <w:multiLevelType w:val="hybridMultilevel"/>
    <w:tmpl w:val="5C86FF42"/>
    <w:lvl w:ilvl="0" w:tplc="123CF87A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  <w:lvl w:ilvl="1" w:tplc="F232273C">
      <w:numFmt w:val="decimal"/>
      <w:lvlText w:val=""/>
      <w:lvlJc w:val="left"/>
    </w:lvl>
    <w:lvl w:ilvl="2" w:tplc="8FF8951E">
      <w:numFmt w:val="decimal"/>
      <w:lvlText w:val=""/>
      <w:lvlJc w:val="left"/>
    </w:lvl>
    <w:lvl w:ilvl="3" w:tplc="2E7A4B5C">
      <w:numFmt w:val="decimal"/>
      <w:lvlText w:val=""/>
      <w:lvlJc w:val="left"/>
    </w:lvl>
    <w:lvl w:ilvl="4" w:tplc="87647CD2">
      <w:numFmt w:val="decimal"/>
      <w:lvlText w:val=""/>
      <w:lvlJc w:val="left"/>
    </w:lvl>
    <w:lvl w:ilvl="5" w:tplc="204EBD9C">
      <w:numFmt w:val="decimal"/>
      <w:lvlText w:val=""/>
      <w:lvlJc w:val="left"/>
    </w:lvl>
    <w:lvl w:ilvl="6" w:tplc="8D78A514">
      <w:numFmt w:val="decimal"/>
      <w:lvlText w:val=""/>
      <w:lvlJc w:val="left"/>
    </w:lvl>
    <w:lvl w:ilvl="7" w:tplc="8842B5AE">
      <w:numFmt w:val="decimal"/>
      <w:lvlText w:val=""/>
      <w:lvlJc w:val="left"/>
    </w:lvl>
    <w:lvl w:ilvl="8" w:tplc="7BE6BB4A">
      <w:numFmt w:val="decimal"/>
      <w:lvlText w:val=""/>
      <w:lvlJc w:val="left"/>
    </w:lvl>
  </w:abstractNum>
  <w:abstractNum w:abstractNumId="11">
    <w:nsid w:val="7B025977"/>
    <w:multiLevelType w:val="hybridMultilevel"/>
    <w:tmpl w:val="DB6202DA"/>
    <w:lvl w:ilvl="0" w:tplc="D4567AEE">
      <w:start w:val="1"/>
      <w:numFmt w:val="bullet"/>
      <w:lvlText w:val=""/>
      <w:lvlJc w:val="left"/>
      <w:pPr>
        <w:ind w:left="1004" w:hanging="360"/>
      </w:pPr>
      <w:rPr>
        <w:rFonts w:ascii="Wingdings" w:hAnsi="Wingdings"/>
      </w:rPr>
    </w:lvl>
    <w:lvl w:ilvl="1" w:tplc="5A200F6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6AC8038A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2ED2A238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C8D2A53A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2BCA346C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6BF88490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1BA2747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58A05A32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10"/>
    <w:lvlOverride w:ilvl="0">
      <w:startOverride w:val="1"/>
    </w:lvlOverride>
  </w:num>
  <w:num w:numId="12">
    <w:abstractNumId w:val="6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E8"/>
    <w:rsid w:val="009E7043"/>
    <w:rsid w:val="00C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31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semiHidden/>
    <w:pPr>
      <w:ind w:firstLine="792"/>
      <w:jc w:val="both"/>
    </w:pPr>
    <w:rPr>
      <w:color w:val="000000"/>
      <w:sz w:val="28"/>
      <w:szCs w:val="28"/>
    </w:rPr>
  </w:style>
  <w:style w:type="paragraph" w:styleId="21">
    <w:name w:val="Body Text Indent 2"/>
    <w:basedOn w:val="a"/>
    <w:semiHidden/>
    <w:pPr>
      <w:ind w:firstLine="540"/>
      <w:jc w:val="both"/>
    </w:pPr>
    <w:rPr>
      <w:sz w:val="28"/>
    </w:rPr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sz w:val="16"/>
      <w:szCs w:val="16"/>
    </w:rPr>
  </w:style>
  <w:style w:type="character" w:customStyle="1" w:styleId="20">
    <w:name w:val="Заголовок 2 Знак"/>
    <w:basedOn w:val="a0"/>
    <w:link w:val="2"/>
    <w:rPr>
      <w:bCs/>
      <w:sz w:val="28"/>
    </w:rPr>
  </w:style>
  <w:style w:type="character" w:customStyle="1" w:styleId="Hyperlink1">
    <w:name w:val="Hyperlink1"/>
    <w:basedOn w:val="a0"/>
    <w:rPr>
      <w:color w:val="0000FF"/>
      <w:sz w:val="20"/>
      <w:u w:val="single"/>
    </w:rPr>
  </w:style>
  <w:style w:type="paragraph" w:styleId="22">
    <w:name w:val="Body Text 2"/>
    <w:basedOn w:val="a"/>
    <w:pPr>
      <w:ind w:firstLine="720"/>
      <w:jc w:val="both"/>
    </w:pPr>
    <w:rPr>
      <w:szCs w:val="20"/>
    </w:rPr>
  </w:style>
  <w:style w:type="character" w:styleId="a5">
    <w:name w:val="Hyperlink"/>
    <w:basedOn w:val="a0"/>
    <w:rPr>
      <w:color w:val="0000FF"/>
      <w:sz w:val="2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6">
    <w:name w:val="Table Grid"/>
    <w:basedOn w:val="a1"/>
    <w:uiPriority w:val="59"/>
    <w:tblPr/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rPr>
      <w:sz w:val="24"/>
      <w:szCs w:val="24"/>
    </w:rPr>
  </w:style>
  <w:style w:type="character" w:customStyle="1" w:styleId="23">
    <w:name w:val="Основной текст (2)_"/>
    <w:basedOn w:val="a0"/>
    <w:link w:val="210"/>
    <w:uiPriority w:val="9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pPr>
      <w:widowControl w:val="0"/>
      <w:shd w:val="clear" w:color="auto" w:fill="FFFFFF"/>
      <w:spacing w:before="360" w:after="2640" w:line="367" w:lineRule="exact"/>
      <w:jc w:val="center"/>
    </w:pPr>
    <w:rPr>
      <w:sz w:val="28"/>
      <w:szCs w:val="28"/>
    </w:rPr>
  </w:style>
  <w:style w:type="character" w:customStyle="1" w:styleId="34">
    <w:name w:val="Основной текст (3)_"/>
    <w:basedOn w:val="a0"/>
    <w:link w:val="310"/>
    <w:uiPriority w:val="99"/>
    <w:rPr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pPr>
      <w:widowControl w:val="0"/>
      <w:shd w:val="clear" w:color="auto" w:fill="FFFFFF"/>
      <w:spacing w:before="5460" w:line="370" w:lineRule="exact"/>
      <w:ind w:hanging="1560"/>
      <w:jc w:val="center"/>
    </w:pPr>
    <w:rPr>
      <w:b/>
      <w:bCs/>
      <w:sz w:val="28"/>
      <w:szCs w:val="28"/>
    </w:rPr>
  </w:style>
  <w:style w:type="paragraph" w:styleId="a8">
    <w:name w:val="Title"/>
    <w:basedOn w:val="a"/>
    <w:link w:val="a9"/>
    <w:qFormat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Pr>
      <w:rFonts w:cs="Times New Roman"/>
      <w:i/>
      <w:iCs/>
    </w:rPr>
  </w:style>
  <w:style w:type="character" w:styleId="HTML">
    <w:name w:val="HTML Definition"/>
    <w:basedOn w:val="a0"/>
    <w:uiPriority w:val="99"/>
    <w:semiHidden/>
    <w:unhideWhenUsed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31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semiHidden/>
    <w:pPr>
      <w:ind w:firstLine="792"/>
      <w:jc w:val="both"/>
    </w:pPr>
    <w:rPr>
      <w:color w:val="000000"/>
      <w:sz w:val="28"/>
      <w:szCs w:val="28"/>
    </w:rPr>
  </w:style>
  <w:style w:type="paragraph" w:styleId="21">
    <w:name w:val="Body Text Indent 2"/>
    <w:basedOn w:val="a"/>
    <w:semiHidden/>
    <w:pPr>
      <w:ind w:firstLine="540"/>
      <w:jc w:val="both"/>
    </w:pPr>
    <w:rPr>
      <w:sz w:val="28"/>
    </w:rPr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sz w:val="16"/>
      <w:szCs w:val="16"/>
    </w:rPr>
  </w:style>
  <w:style w:type="character" w:customStyle="1" w:styleId="20">
    <w:name w:val="Заголовок 2 Знак"/>
    <w:basedOn w:val="a0"/>
    <w:link w:val="2"/>
    <w:rPr>
      <w:bCs/>
      <w:sz w:val="28"/>
    </w:rPr>
  </w:style>
  <w:style w:type="character" w:customStyle="1" w:styleId="Hyperlink1">
    <w:name w:val="Hyperlink1"/>
    <w:basedOn w:val="a0"/>
    <w:rPr>
      <w:color w:val="0000FF"/>
      <w:sz w:val="20"/>
      <w:u w:val="single"/>
    </w:rPr>
  </w:style>
  <w:style w:type="paragraph" w:styleId="22">
    <w:name w:val="Body Text 2"/>
    <w:basedOn w:val="a"/>
    <w:pPr>
      <w:ind w:firstLine="720"/>
      <w:jc w:val="both"/>
    </w:pPr>
    <w:rPr>
      <w:szCs w:val="20"/>
    </w:rPr>
  </w:style>
  <w:style w:type="character" w:styleId="a5">
    <w:name w:val="Hyperlink"/>
    <w:basedOn w:val="a0"/>
    <w:rPr>
      <w:color w:val="0000FF"/>
      <w:sz w:val="2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6">
    <w:name w:val="Table Grid"/>
    <w:basedOn w:val="a1"/>
    <w:uiPriority w:val="59"/>
    <w:tblPr/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rPr>
      <w:sz w:val="24"/>
      <w:szCs w:val="24"/>
    </w:rPr>
  </w:style>
  <w:style w:type="character" w:customStyle="1" w:styleId="23">
    <w:name w:val="Основной текст (2)_"/>
    <w:basedOn w:val="a0"/>
    <w:link w:val="210"/>
    <w:uiPriority w:val="9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pPr>
      <w:widowControl w:val="0"/>
      <w:shd w:val="clear" w:color="auto" w:fill="FFFFFF"/>
      <w:spacing w:before="360" w:after="2640" w:line="367" w:lineRule="exact"/>
      <w:jc w:val="center"/>
    </w:pPr>
    <w:rPr>
      <w:sz w:val="28"/>
      <w:szCs w:val="28"/>
    </w:rPr>
  </w:style>
  <w:style w:type="character" w:customStyle="1" w:styleId="34">
    <w:name w:val="Основной текст (3)_"/>
    <w:basedOn w:val="a0"/>
    <w:link w:val="310"/>
    <w:uiPriority w:val="99"/>
    <w:rPr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pPr>
      <w:widowControl w:val="0"/>
      <w:shd w:val="clear" w:color="auto" w:fill="FFFFFF"/>
      <w:spacing w:before="5460" w:line="370" w:lineRule="exact"/>
      <w:ind w:hanging="1560"/>
      <w:jc w:val="center"/>
    </w:pPr>
    <w:rPr>
      <w:b/>
      <w:bCs/>
      <w:sz w:val="28"/>
      <w:szCs w:val="28"/>
    </w:rPr>
  </w:style>
  <w:style w:type="paragraph" w:styleId="a8">
    <w:name w:val="Title"/>
    <w:basedOn w:val="a"/>
    <w:link w:val="a9"/>
    <w:qFormat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Pr>
      <w:rFonts w:cs="Times New Roman"/>
      <w:i/>
      <w:iCs/>
    </w:rPr>
  </w:style>
  <w:style w:type="character" w:styleId="HTML">
    <w:name w:val="HTML Definition"/>
    <w:basedOn w:val="a0"/>
    <w:uiPriority w:val="99"/>
    <w:semiHidden/>
    <w:unhideWhenUsed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B239D6523C7CF59BFDE9917D41854DF5E367357ABF50EB5D1881D2CBDAB352740185CEA6063E0F91828AF5570946BA5090DF430019k5I4J" TargetMode="External"/><Relationship Id="rId13" Type="http://schemas.openxmlformats.org/officeDocument/2006/relationships/hyperlink" Target="consultantplus://offline/ref=FBF9602BFB7A1339C1D2686EAD0B5A050D4A54F3A516E03020EC826D056EE4FA5DD47AFD79F4EEL7Y6G" TargetMode="External"/><Relationship Id="rId18" Type="http://schemas.openxmlformats.org/officeDocument/2006/relationships/hyperlink" Target="consultantplus://offline/ref=63818DB77CD21B860626910353B1AFD400694765AE37745D01A303B1532E1457AE4E2CEA4F6C0D2460D6F0BF8304AEF8533657052Ei2L3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4B239D6523C7CF59BFDE9917D41854DF2E069377BBF50EB5D1881D2CBDAB352740185CCA60F3802C2D89AF11E5D49A55289C1461E195784k4I4J" TargetMode="External"/><Relationship Id="rId7" Type="http://schemas.openxmlformats.org/officeDocument/2006/relationships/hyperlink" Target="consultantplus://offline/ref=E4B239D6523C7CF59BFDE9917D41854DF5E367357ABF50EB5D1881D2CBDAB352740185CFA407310F91828AF5570946BA5090DF430019k5I4J" TargetMode="External"/><Relationship Id="rId12" Type="http://schemas.openxmlformats.org/officeDocument/2006/relationships/hyperlink" Target="consultantplus://offline/ref=E4B239D6523C7CF59BFDE9917D41854DF5E367357ABF50EB5D1881D2CBDAB352740185CCA60D3C0CC0D89AF11E5D49A55289C1461E195784k4I4J" TargetMode="External"/><Relationship Id="rId17" Type="http://schemas.openxmlformats.org/officeDocument/2006/relationships/hyperlink" Target="consultantplus://offline/ref=63818DB77CD21B860626910353B1AFD400694765AE37745D01A303B1532E1457AE4E2CEA4E640D2460D6F0BF8304AEF8533657052Ei2L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818DB77CD21B860626910353B1AFD400694765AE37745D01A303B1532E1457AE4E2CEE486401703499F1E3C653BDF9563655023222F2E6i4LFL" TargetMode="External"/><Relationship Id="rId20" Type="http://schemas.openxmlformats.org/officeDocument/2006/relationships/hyperlink" Target="consultantplus://offline/ref=E4B239D6523C7CF59BFDE9917D41854DF5E367357ABF50EB5D1881D2CBDAB352740185CFA509380F91828AF5570946BA5090DF430019k5I4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B239D6523C7CF59BFDE9917D41854DF5E367357ABF50EB5D1881D2CBDAB352740185CFA407300F91828AF5570946BA5090DF430019k5I4J" TargetMode="External"/><Relationship Id="rId11" Type="http://schemas.openxmlformats.org/officeDocument/2006/relationships/hyperlink" Target="consultantplus://offline/ref=E4B239D6523C7CF59BFDE9917D41854DF5E367357ABF50EB5D1881D2CBDAB352740185C9A70F335094979BAD5B0A5AA45789C34102k1I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F9602BFB7A1339C1D2686EAD0B5A05074055F0A616E03020EC826D056EE4FA5DD47AFD79F2E8L7YF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4B239D6523C7CF59BFDE9917D41854DF5E367357ABF50EB5D1881D2CBDAB352740185CEA6063E0F91828AF5570946BA5090DF430019k5I4J" TargetMode="External"/><Relationship Id="rId19" Type="http://schemas.openxmlformats.org/officeDocument/2006/relationships/hyperlink" Target="consultantplus://offline/ref=63818DB77CD21B860626910353B1AFD400694765AE37745D01A303B1532E1457AE4E2CEE486500753799F1E3C653BDF9563655023222F2E6i4L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B239D6523C7CF59BFDE9917D41854DF5E367357ABF50EB5D1881D2CBDAB352740185CFA407310F91828AF5570946BA5090DF430019k5I4J" TargetMode="External"/><Relationship Id="rId14" Type="http://schemas.openxmlformats.org/officeDocument/2006/relationships/hyperlink" Target="consultantplus://offline/ref=FBF9602BFB7A1339C1D2686EAD0B5A05074055F0A616E03020EC826D056EE4FA5DD47AFD7ELFY0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met_usr3</dc:creator>
  <cp:lastModifiedBy>Юрист</cp:lastModifiedBy>
  <cp:revision>2</cp:revision>
  <dcterms:created xsi:type="dcterms:W3CDTF">2024-09-04T07:03:00Z</dcterms:created>
  <dcterms:modified xsi:type="dcterms:W3CDTF">2024-09-04T07:03:00Z</dcterms:modified>
  <cp:version>786432</cp:version>
</cp:coreProperties>
</file>